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92BBD" w:rsidRDefault="005A1494" w:rsidP="005A1494">
      <w:pPr>
        <w:jc w:val="center"/>
        <w:rPr>
          <w:rFonts w:ascii="Century Gothic" w:hAnsi="Century Gothic"/>
          <w:sz w:val="72"/>
        </w:rPr>
      </w:pPr>
      <w:r w:rsidRPr="005A1494">
        <w:rPr>
          <w:rFonts w:ascii="Century Gothic" w:hAnsi="Century Gothic"/>
          <w:noProof/>
          <w:sz w:val="72"/>
        </w:rPr>
        <mc:AlternateContent>
          <mc:Choice Requires="wps">
            <w:drawing>
              <wp:anchor distT="45720" distB="45720" distL="114300" distR="114300" simplePos="0" relativeHeight="251664383" behindDoc="0" locked="0" layoutInCell="1" allowOverlap="1" wp14:anchorId="676C2436" wp14:editId="3AB61B56">
                <wp:simplePos x="0" y="0"/>
                <wp:positionH relativeFrom="margin">
                  <wp:align>right</wp:align>
                </wp:positionH>
                <wp:positionV relativeFrom="paragraph">
                  <wp:posOffset>762000</wp:posOffset>
                </wp:positionV>
                <wp:extent cx="5915025" cy="1404620"/>
                <wp:effectExtent l="0" t="0" r="2857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04620"/>
                        </a:xfrm>
                        <a:prstGeom prst="rect">
                          <a:avLst/>
                        </a:prstGeom>
                        <a:solidFill>
                          <a:srgbClr val="A1CD3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494" w:rsidRPr="00310CBB" w:rsidRDefault="005A1494" w:rsidP="005A149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 w:rsidRPr="00310CB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 xml:space="preserve">No one knows WIC as well as WIC staff! That knowledge and experience present you and your colleagues with the unique opportunity to be a Voice for WIC. The National WIC Association has an online tool kit to walk you through a variety of advocacy activities with tips, worksheets, and examples of how you can elevate Your WIC Voice. Find the tool kit on </w:t>
                            </w:r>
                            <w:hyperlink r:id="rId7" w:history="1">
                              <w:r w:rsidRPr="00630F10">
                                <w:rPr>
                                  <w:rStyle w:val="Hyperlink"/>
                                  <w:rFonts w:ascii="Century Gothic" w:hAnsi="Century Gothic"/>
                                  <w:b/>
                                </w:rPr>
                                <w:t>nwica.org</w:t>
                              </w:r>
                            </w:hyperlink>
                            <w:r w:rsidRPr="00310CB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6C24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55pt;margin-top:60pt;width:465.75pt;height:110.6pt;z-index:251664383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" fillcolor="#a1cd3a">
                <v:textbox style="mso-fit-shape-to-text:t">
                  <w:txbxContent>
                    <w:p w:rsidR="005A1494" w:rsidRPr="00310CBB" w:rsidRDefault="005A1494" w:rsidP="005A1494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 w:rsidRPr="00310CBB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 xml:space="preserve">No one knows WIC as well as WIC staff! That knowledge and experience present you and your colleagues with the unique opportunity to be a Voice for WIC. The National WIC Association has an online tool kit to walk you through a variety of advocacy activities with tips, worksheets, and examples of how you can elevate Your WIC Voice. Find the tool kit on </w:t>
                      </w:r>
                      <w:hyperlink r:id="rId8" w:history="1">
                        <w:r w:rsidRPr="00630F10">
                          <w:rPr>
                            <w:rStyle w:val="Hyperlink"/>
                            <w:rFonts w:ascii="Century Gothic" w:hAnsi="Century Gothic"/>
                            <w:b/>
                          </w:rPr>
                          <w:t>nwica.org</w:t>
                        </w:r>
                      </w:hyperlink>
                      <w:r w:rsidRPr="00310CBB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A1494">
        <w:rPr>
          <w:rFonts w:ascii="Century Gothic" w:hAnsi="Century Gothic"/>
          <w:noProof/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38569" wp14:editId="7461FECF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753350" cy="7334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733425"/>
                        </a:xfrm>
                        <a:prstGeom prst="rect">
                          <a:avLst/>
                        </a:prstGeom>
                        <a:solidFill>
                          <a:srgbClr val="2E319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80A688" id="Rectangle 1" o:spid="_x0000_s1026" style="position:absolute;margin-left:-1in;margin-top:-1in;width:610.5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" fillcolor="#2e3192" strokecolor="#1f4d78 [1604]" strokeweight="1pt"/>
            </w:pict>
          </mc:Fallback>
        </mc:AlternateContent>
      </w:r>
      <w:r w:rsidRPr="005A1494">
        <w:rPr>
          <w:rFonts w:ascii="Century Gothic" w:hAnsi="Century Gothic"/>
          <w:sz w:val="72"/>
        </w:rPr>
        <w:t>Your WIC Voice Tool Kit</w:t>
      </w:r>
    </w:p>
    <w:p w:rsidR="005A1494" w:rsidRDefault="00630F10" w:rsidP="005A1494">
      <w:pPr>
        <w:rPr>
          <w:rFonts w:ascii="Century Gothic" w:hAnsi="Century Gothic"/>
          <w:sz w:val="24"/>
        </w:rPr>
      </w:pPr>
      <w:r w:rsidRPr="005A1494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B830BC" wp14:editId="3632971B">
                <wp:simplePos x="0" y="0"/>
                <wp:positionH relativeFrom="margin">
                  <wp:posOffset>-574675</wp:posOffset>
                </wp:positionH>
                <wp:positionV relativeFrom="paragraph">
                  <wp:posOffset>1600200</wp:posOffset>
                </wp:positionV>
                <wp:extent cx="2073910" cy="6368415"/>
                <wp:effectExtent l="0" t="0" r="254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910" cy="636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494" w:rsidRPr="00B25C0B" w:rsidRDefault="005A1494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B25C0B">
                              <w:rPr>
                                <w:rFonts w:cstheme="minorHAnsi"/>
                                <w:b/>
                              </w:rPr>
                              <w:t>Who is the National WIC Association and how can we help?</w:t>
                            </w:r>
                          </w:p>
                          <w:p w:rsidR="005A1494" w:rsidRPr="00B25C0B" w:rsidRDefault="005A1494">
                            <w:pPr>
                              <w:rPr>
                                <w:rFonts w:cstheme="minorHAnsi"/>
                              </w:rPr>
                            </w:pPr>
                            <w:r w:rsidRPr="00B25C0B">
                              <w:rPr>
                                <w:rFonts w:cstheme="minorHAnsi"/>
                              </w:rPr>
                              <w:t>NWA is the non-profit education arm and advocacy voice of the Special Supplemental Nutrition Program for Wo</w:t>
                            </w:r>
                            <w:r w:rsidR="00A8313C">
                              <w:rPr>
                                <w:rFonts w:cstheme="minorHAnsi"/>
                              </w:rPr>
                              <w:t>men, Infants and Children (WIC).</w:t>
                            </w:r>
                            <w:r w:rsidRPr="00B25C0B">
                              <w:rPr>
                                <w:rFonts w:cstheme="minorHAnsi"/>
                              </w:rPr>
                              <w:t xml:space="preserve"> Agencies are the front lines of WIC’s public health nutrition services for the nation’s nutritionally at-</w:t>
                            </w:r>
                            <w:r w:rsidR="00A8313C">
                              <w:rPr>
                                <w:rFonts w:cstheme="minorHAnsi"/>
                              </w:rPr>
                              <w:t>risk mothers and young children.</w:t>
                            </w:r>
                          </w:p>
                          <w:p w:rsidR="005A1494" w:rsidRDefault="00630F10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Who is the Wisconsin WIC Association?</w:t>
                            </w:r>
                          </w:p>
                          <w:p w:rsidR="00630F10" w:rsidRDefault="00630F10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The mission of WWA is to inspire and empower the Wisconsin WIC community to advocate for and promote quality nutrition services and assure effectiveness through collaboration, cooperation, and education.</w:t>
                            </w:r>
                          </w:p>
                          <w:p w:rsidR="00A8313C" w:rsidRDefault="00A8313C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Web: </w:t>
                            </w:r>
                            <w:hyperlink r:id="rId9" w:history="1">
                              <w:r w:rsidRPr="00D83848">
                                <w:rPr>
                                  <w:rStyle w:val="Hyperlink"/>
                                  <w:rFonts w:cstheme="minorHAnsi"/>
                                </w:rPr>
                                <w:t>http://wiwica.org/</w:t>
                              </w:r>
                            </w:hyperlink>
                          </w:p>
                          <w:p w:rsidR="00A8313C" w:rsidRDefault="00A8313C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Facebook: Wisconsin WIC Association</w:t>
                            </w:r>
                          </w:p>
                          <w:p w:rsidR="00A8313C" w:rsidRPr="00630F10" w:rsidRDefault="00A8313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830BC" id="_x0000_s1027" type="#_x0000_t202" style="position:absolute;margin-left:-45.25pt;margin-top:126pt;width:163.3pt;height:501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" stroked="f">
                <v:textbox>
                  <w:txbxContent>
                    <w:p w:rsidR="005A1494" w:rsidRPr="00B25C0B" w:rsidRDefault="005A1494">
                      <w:pPr>
                        <w:rPr>
                          <w:rFonts w:cstheme="minorHAnsi"/>
                          <w:b/>
                        </w:rPr>
                      </w:pPr>
                      <w:r w:rsidRPr="00B25C0B">
                        <w:rPr>
                          <w:rFonts w:cstheme="minorHAnsi"/>
                          <w:b/>
                        </w:rPr>
                        <w:t>Who is the National WIC Association and how can we help?</w:t>
                      </w:r>
                    </w:p>
                    <w:p w:rsidR="005A1494" w:rsidRPr="00B25C0B" w:rsidRDefault="005A1494">
                      <w:pPr>
                        <w:rPr>
                          <w:rFonts w:cstheme="minorHAnsi"/>
                        </w:rPr>
                      </w:pPr>
                      <w:r w:rsidRPr="00B25C0B">
                        <w:rPr>
                          <w:rFonts w:cstheme="minorHAnsi"/>
                        </w:rPr>
                        <w:t>NWA is the non-profit education arm and advocacy voice of the Special Supplemental Nutrition Program for Wo</w:t>
                      </w:r>
                      <w:r w:rsidR="00A8313C">
                        <w:rPr>
                          <w:rFonts w:cstheme="minorHAnsi"/>
                        </w:rPr>
                        <w:t>men, Infants and Children (WIC).</w:t>
                      </w:r>
                      <w:r w:rsidRPr="00B25C0B">
                        <w:rPr>
                          <w:rFonts w:cstheme="minorHAnsi"/>
                        </w:rPr>
                        <w:t xml:space="preserve"> Agencies are the front lines of WIC’s public health nutrition services for the nation’s nutritionally at-</w:t>
                      </w:r>
                      <w:r w:rsidR="00A8313C">
                        <w:rPr>
                          <w:rFonts w:cstheme="minorHAnsi"/>
                        </w:rPr>
                        <w:t>risk mothers and young children.</w:t>
                      </w:r>
                    </w:p>
                    <w:p w:rsidR="005A1494" w:rsidRDefault="00630F10">
                      <w:pPr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Who is the Wisconsin WIC Association?</w:t>
                      </w:r>
                    </w:p>
                    <w:p w:rsidR="00630F10" w:rsidRDefault="00630F10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The mission of WWA is to inspire and empower the Wisconsin WIC community to advocate for and promote quality nutrition services and assure effectiveness through collaboration, cooperation, and education.</w:t>
                      </w:r>
                    </w:p>
                    <w:p w:rsidR="00A8313C" w:rsidRDefault="00A8313C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Web: </w:t>
                      </w:r>
                      <w:hyperlink r:id="rId10" w:history="1">
                        <w:r w:rsidRPr="00D83848">
                          <w:rPr>
                            <w:rStyle w:val="Hyperlink"/>
                            <w:rFonts w:cstheme="minorHAnsi"/>
                          </w:rPr>
                          <w:t>http://wiwica.org/</w:t>
                        </w:r>
                      </w:hyperlink>
                    </w:p>
                    <w:p w:rsidR="00A8313C" w:rsidRDefault="00A8313C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Facebook: Wisconsin WIC Association</w:t>
                      </w:r>
                    </w:p>
                    <w:p w:rsidR="00A8313C" w:rsidRPr="00630F10" w:rsidRDefault="00A8313C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5C0B" w:rsidRPr="005A1494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DDBB58F" wp14:editId="00D1051F">
                <wp:simplePos x="0" y="0"/>
                <wp:positionH relativeFrom="margin">
                  <wp:posOffset>1991995</wp:posOffset>
                </wp:positionH>
                <wp:positionV relativeFrom="paragraph">
                  <wp:posOffset>1614586</wp:posOffset>
                </wp:positionV>
                <wp:extent cx="4421505" cy="589470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1505" cy="5894705"/>
                        </a:xfrm>
                        <a:prstGeom prst="rect">
                          <a:avLst/>
                        </a:prstGeom>
                        <a:solidFill>
                          <a:srgbClr val="6C54A3">
                            <a:alpha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494" w:rsidRPr="009352BA" w:rsidRDefault="005A1494">
                            <w:pPr>
                              <w:rPr>
                                <w:b/>
                                <w:color w:val="2E3192"/>
                              </w:rPr>
                            </w:pPr>
                            <w:r w:rsidRPr="009352BA">
                              <w:rPr>
                                <w:b/>
                                <w:color w:val="2E3192"/>
                              </w:rPr>
                              <w:t>In this too</w:t>
                            </w:r>
                            <w:r w:rsidR="00310CBB" w:rsidRPr="009352BA">
                              <w:rPr>
                                <w:b/>
                                <w:color w:val="2E3192"/>
                              </w:rPr>
                              <w:t>l</w:t>
                            </w:r>
                            <w:r w:rsidRPr="009352BA">
                              <w:rPr>
                                <w:b/>
                                <w:color w:val="2E3192"/>
                              </w:rPr>
                              <w:t xml:space="preserve"> kit you will find:</w:t>
                            </w:r>
                          </w:p>
                          <w:p w:rsidR="005A1494" w:rsidRDefault="005A1494" w:rsidP="005A1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contextualSpacing w:val="0"/>
                            </w:pPr>
                            <w:r w:rsidRPr="009352BA">
                              <w:rPr>
                                <w:b/>
                                <w:color w:val="2E3192"/>
                              </w:rPr>
                              <w:t>Why Education Matters!</w:t>
                            </w:r>
                            <w:r w:rsidRPr="009352BA">
                              <w:rPr>
                                <w:color w:val="2E3192"/>
                              </w:rPr>
                              <w:t xml:space="preserve"> </w:t>
                            </w:r>
                            <w:r>
                              <w:t>Information about why it’s important to talk about WIC on a local, state and national level.</w:t>
                            </w:r>
                          </w:p>
                          <w:p w:rsidR="005A1494" w:rsidRDefault="005A1494" w:rsidP="005A1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contextualSpacing w:val="0"/>
                            </w:pPr>
                            <w:r w:rsidRPr="009352BA">
                              <w:rPr>
                                <w:b/>
                                <w:color w:val="2E3192"/>
                              </w:rPr>
                              <w:t>Advocacy</w:t>
                            </w:r>
                            <w:r w:rsidRPr="00310CBB">
                              <w:rPr>
                                <w:b/>
                                <w:color w:val="490E6F"/>
                              </w:rPr>
                              <w:t xml:space="preserve"> </w:t>
                            </w:r>
                            <w:r w:rsidRPr="009352BA">
                              <w:rPr>
                                <w:b/>
                                <w:color w:val="2E3192"/>
                              </w:rPr>
                              <w:t>vs Lobbying</w:t>
                            </w:r>
                            <w:r w:rsidRPr="009352BA">
                              <w:rPr>
                                <w:color w:val="2E3192"/>
                              </w:rPr>
                              <w:t xml:space="preserve"> </w:t>
                            </w:r>
                            <w:r>
                              <w:t>– What are they? How are they different?</w:t>
                            </w:r>
                          </w:p>
                          <w:p w:rsidR="005A1494" w:rsidRDefault="005A1494" w:rsidP="005A1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contextualSpacing w:val="0"/>
                            </w:pPr>
                            <w:r w:rsidRPr="009352BA">
                              <w:rPr>
                                <w:b/>
                                <w:color w:val="2E3192"/>
                              </w:rPr>
                              <w:t>Funding Basics</w:t>
                            </w:r>
                            <w:r w:rsidRPr="009352BA">
                              <w:rPr>
                                <w:color w:val="2E3192"/>
                              </w:rPr>
                              <w:t xml:space="preserve"> </w:t>
                            </w:r>
                            <w:r>
                              <w:t>– A quick explanation of how WIC is funded.</w:t>
                            </w:r>
                          </w:p>
                          <w:p w:rsidR="005A1494" w:rsidRDefault="005A1494" w:rsidP="005A1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contextualSpacing w:val="0"/>
                            </w:pPr>
                            <w:r w:rsidRPr="009352BA">
                              <w:rPr>
                                <w:b/>
                                <w:color w:val="2E3192"/>
                              </w:rPr>
                              <w:t>How to Engage Partners</w:t>
                            </w:r>
                            <w:r w:rsidRPr="009352BA">
                              <w:rPr>
                                <w:color w:val="2E3192"/>
                              </w:rPr>
                              <w:t xml:space="preserve"> </w:t>
                            </w:r>
                            <w:r>
                              <w:t>– Strength in Numbers!</w:t>
                            </w:r>
                          </w:p>
                          <w:p w:rsidR="005A1494" w:rsidRDefault="005A1494" w:rsidP="005A1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contextualSpacing w:val="0"/>
                            </w:pPr>
                            <w:r w:rsidRPr="009352BA">
                              <w:rPr>
                                <w:b/>
                                <w:color w:val="2E3192"/>
                              </w:rPr>
                              <w:t>Key Messages</w:t>
                            </w:r>
                            <w:r w:rsidRPr="009352BA">
                              <w:rPr>
                                <w:color w:val="2E3192"/>
                              </w:rPr>
                              <w:t xml:space="preserve"> </w:t>
                            </w:r>
                            <w:r>
                              <w:t>– Important messages for 2016 and every year along with tips for how to tailor messages and talking points.</w:t>
                            </w:r>
                          </w:p>
                          <w:p w:rsidR="005A1494" w:rsidRDefault="005A1494" w:rsidP="005A1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contextualSpacing w:val="0"/>
                            </w:pPr>
                            <w:r w:rsidRPr="009352BA">
                              <w:rPr>
                                <w:b/>
                                <w:color w:val="2E3192"/>
                              </w:rPr>
                              <w:t>Talking Points</w:t>
                            </w:r>
                            <w:r w:rsidRPr="009352BA">
                              <w:rPr>
                                <w:color w:val="2E3192"/>
                              </w:rPr>
                              <w:t xml:space="preserve"> </w:t>
                            </w:r>
                            <w:r>
                              <w:t>– Important points to support our 2016 Key Messages.</w:t>
                            </w:r>
                          </w:p>
                          <w:p w:rsidR="005A1494" w:rsidRDefault="005A1494" w:rsidP="005A1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contextualSpacing w:val="0"/>
                            </w:pPr>
                            <w:r w:rsidRPr="009352BA">
                              <w:rPr>
                                <w:b/>
                                <w:color w:val="2E3192"/>
                              </w:rPr>
                              <w:t>Developing Your Messages</w:t>
                            </w:r>
                            <w:r w:rsidRPr="009352BA">
                              <w:rPr>
                                <w:color w:val="2E3192"/>
                              </w:rPr>
                              <w:t xml:space="preserve"> </w:t>
                            </w:r>
                            <w:r>
                              <w:t>– A worksheet to help you develop messages about WIC for policymakers, the media, or community groups about WIC.</w:t>
                            </w:r>
                          </w:p>
                          <w:p w:rsidR="005A1494" w:rsidRDefault="005A1494" w:rsidP="005A1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contextualSpacing w:val="0"/>
                            </w:pPr>
                            <w:r w:rsidRPr="009352BA">
                              <w:rPr>
                                <w:b/>
                                <w:color w:val="2E3192"/>
                              </w:rPr>
                              <w:t>Contacting Elected Officials</w:t>
                            </w:r>
                            <w:r w:rsidRPr="009352BA">
                              <w:rPr>
                                <w:color w:val="2E3192"/>
                              </w:rPr>
                              <w:t xml:space="preserve"> </w:t>
                            </w:r>
                            <w:r>
                              <w:t>– Now that you’ve got your talking point created, here are some tips for contacting policymakers.</w:t>
                            </w:r>
                          </w:p>
                          <w:p w:rsidR="005A1494" w:rsidRDefault="005A1494" w:rsidP="005A1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contextualSpacing w:val="0"/>
                            </w:pPr>
                            <w:r w:rsidRPr="009352BA">
                              <w:rPr>
                                <w:b/>
                                <w:color w:val="2E3192"/>
                              </w:rPr>
                              <w:t>Something Bad Happened!</w:t>
                            </w:r>
                            <w:r w:rsidRPr="009352BA">
                              <w:rPr>
                                <w:color w:val="2E3192"/>
                              </w:rPr>
                              <w:t xml:space="preserve"> </w:t>
                            </w:r>
                            <w:r>
                              <w:t>At some point, you will probably need to respond to something negative, here is some advice.</w:t>
                            </w:r>
                          </w:p>
                          <w:p w:rsidR="005A1494" w:rsidRDefault="005A1494" w:rsidP="005A1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contextualSpacing w:val="0"/>
                            </w:pPr>
                            <w:r w:rsidRPr="009352BA">
                              <w:rPr>
                                <w:b/>
                                <w:color w:val="2E3192"/>
                              </w:rPr>
                              <w:t>Talking to the Media</w:t>
                            </w:r>
                            <w:r w:rsidRPr="009352BA">
                              <w:rPr>
                                <w:color w:val="2E3192"/>
                              </w:rPr>
                              <w:t xml:space="preserve"> </w:t>
                            </w:r>
                            <w:r>
                              <w:t xml:space="preserve">– Doing media interviews </w:t>
                            </w:r>
                            <w:r w:rsidR="00630F10">
                              <w:t>is a great way to raise Your WIC</w:t>
                            </w:r>
                            <w:r>
                              <w:t xml:space="preserve"> Voice. We’ve put together a few tips to help you prepare.</w:t>
                            </w:r>
                          </w:p>
                          <w:p w:rsidR="005A1494" w:rsidRDefault="005A1494" w:rsidP="005A1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contextualSpacing w:val="0"/>
                            </w:pPr>
                            <w:r w:rsidRPr="009352BA">
                              <w:rPr>
                                <w:b/>
                                <w:color w:val="2E3192"/>
                              </w:rPr>
                              <w:t>How to Pitch a Story</w:t>
                            </w:r>
                            <w:r w:rsidRPr="009352BA">
                              <w:rPr>
                                <w:color w:val="2E3192"/>
                              </w:rPr>
                              <w:t xml:space="preserve"> </w:t>
                            </w:r>
                            <w:r>
                              <w:t>– Don’t just wait for the media to notice WIC, reach out and let them know what you’re up to!</w:t>
                            </w:r>
                          </w:p>
                          <w:p w:rsidR="005A1494" w:rsidRDefault="005A1494" w:rsidP="005A1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contextualSpacing w:val="0"/>
                            </w:pPr>
                            <w:r w:rsidRPr="009352BA">
                              <w:rPr>
                                <w:b/>
                                <w:color w:val="2E3192"/>
                              </w:rPr>
                              <w:t>Writing an Op-Ed</w:t>
                            </w:r>
                            <w:r w:rsidRPr="009352BA">
                              <w:rPr>
                                <w:color w:val="2E3192"/>
                              </w:rPr>
                              <w:t xml:space="preserve"> </w:t>
                            </w:r>
                            <w:r>
                              <w:t>– Op-eds are a great way to reach more people. See our guide for writing and submitting.</w:t>
                            </w:r>
                          </w:p>
                          <w:p w:rsidR="005A1494" w:rsidRDefault="005A1494" w:rsidP="005A1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contextualSpacing w:val="0"/>
                            </w:pPr>
                            <w:r w:rsidRPr="009352BA">
                              <w:rPr>
                                <w:b/>
                                <w:color w:val="2E3192"/>
                              </w:rPr>
                              <w:t>Templates and Examples</w:t>
                            </w:r>
                            <w:r w:rsidRPr="009352BA">
                              <w:rPr>
                                <w:color w:val="2E3192"/>
                              </w:rPr>
                              <w:t xml:space="preserve"> </w:t>
                            </w:r>
                            <w:r>
                              <w:t>of Press Releases and Op-eds.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BB58F" id="_x0000_s1028" type="#_x0000_t202" style="position:absolute;margin-left:156.85pt;margin-top:127.15pt;width:348.15pt;height:464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" fillcolor="#6c54a3" stroked="f">
                <v:fill opacity="39321f"/>
                <v:textbox>
                  <w:txbxContent>
                    <w:p w:rsidR="005A1494" w:rsidRPr="009352BA" w:rsidRDefault="005A1494">
                      <w:pPr>
                        <w:rPr>
                          <w:b/>
                          <w:color w:val="2E3192"/>
                        </w:rPr>
                      </w:pPr>
                      <w:r w:rsidRPr="009352BA">
                        <w:rPr>
                          <w:b/>
                          <w:color w:val="2E3192"/>
                        </w:rPr>
                        <w:t>In this too</w:t>
                      </w:r>
                      <w:r w:rsidR="00310CBB" w:rsidRPr="009352BA">
                        <w:rPr>
                          <w:b/>
                          <w:color w:val="2E3192"/>
                        </w:rPr>
                        <w:t>l</w:t>
                      </w:r>
                      <w:r w:rsidRPr="009352BA">
                        <w:rPr>
                          <w:b/>
                          <w:color w:val="2E3192"/>
                        </w:rPr>
                        <w:t xml:space="preserve"> kit you will find:</w:t>
                      </w:r>
                    </w:p>
                    <w:p w:rsidR="005A1494" w:rsidRDefault="005A1494" w:rsidP="005A1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contextualSpacing w:val="0"/>
                      </w:pPr>
                      <w:r w:rsidRPr="009352BA">
                        <w:rPr>
                          <w:b/>
                          <w:color w:val="2E3192"/>
                        </w:rPr>
                        <w:t>Why Education Matters!</w:t>
                      </w:r>
                      <w:r w:rsidRPr="009352BA">
                        <w:rPr>
                          <w:color w:val="2E3192"/>
                        </w:rPr>
                        <w:t xml:space="preserve"> </w:t>
                      </w:r>
                      <w:r>
                        <w:t>Information about why it’s important to talk about WIC on a local, state and national level.</w:t>
                      </w:r>
                    </w:p>
                    <w:p w:rsidR="005A1494" w:rsidRDefault="005A1494" w:rsidP="005A1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contextualSpacing w:val="0"/>
                      </w:pPr>
                      <w:r w:rsidRPr="009352BA">
                        <w:rPr>
                          <w:b/>
                          <w:color w:val="2E3192"/>
                        </w:rPr>
                        <w:t>Advocacy</w:t>
                      </w:r>
                      <w:r w:rsidRPr="00310CBB">
                        <w:rPr>
                          <w:b/>
                          <w:color w:val="490E6F"/>
                        </w:rPr>
                        <w:t xml:space="preserve"> </w:t>
                      </w:r>
                      <w:r w:rsidRPr="009352BA">
                        <w:rPr>
                          <w:b/>
                          <w:color w:val="2E3192"/>
                        </w:rPr>
                        <w:t>vs Lobbying</w:t>
                      </w:r>
                      <w:r w:rsidRPr="009352BA">
                        <w:rPr>
                          <w:color w:val="2E3192"/>
                        </w:rPr>
                        <w:t xml:space="preserve"> </w:t>
                      </w:r>
                      <w:r>
                        <w:t>– What are they? How are they different?</w:t>
                      </w:r>
                    </w:p>
                    <w:p w:rsidR="005A1494" w:rsidRDefault="005A1494" w:rsidP="005A1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contextualSpacing w:val="0"/>
                      </w:pPr>
                      <w:r w:rsidRPr="009352BA">
                        <w:rPr>
                          <w:b/>
                          <w:color w:val="2E3192"/>
                        </w:rPr>
                        <w:t>Funding Basics</w:t>
                      </w:r>
                      <w:r w:rsidRPr="009352BA">
                        <w:rPr>
                          <w:color w:val="2E3192"/>
                        </w:rPr>
                        <w:t xml:space="preserve"> </w:t>
                      </w:r>
                      <w:r>
                        <w:t>– A quick explanation of how WIC is funded.</w:t>
                      </w:r>
                    </w:p>
                    <w:p w:rsidR="005A1494" w:rsidRDefault="005A1494" w:rsidP="005A1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contextualSpacing w:val="0"/>
                      </w:pPr>
                      <w:r w:rsidRPr="009352BA">
                        <w:rPr>
                          <w:b/>
                          <w:color w:val="2E3192"/>
                        </w:rPr>
                        <w:t>How to Engage Partners</w:t>
                      </w:r>
                      <w:r w:rsidRPr="009352BA">
                        <w:rPr>
                          <w:color w:val="2E3192"/>
                        </w:rPr>
                        <w:t xml:space="preserve"> </w:t>
                      </w:r>
                      <w:r>
                        <w:t>– Strength in Numbers!</w:t>
                      </w:r>
                    </w:p>
                    <w:p w:rsidR="005A1494" w:rsidRDefault="005A1494" w:rsidP="005A1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contextualSpacing w:val="0"/>
                      </w:pPr>
                      <w:r w:rsidRPr="009352BA">
                        <w:rPr>
                          <w:b/>
                          <w:color w:val="2E3192"/>
                        </w:rPr>
                        <w:t>Key Messages</w:t>
                      </w:r>
                      <w:r w:rsidRPr="009352BA">
                        <w:rPr>
                          <w:color w:val="2E3192"/>
                        </w:rPr>
                        <w:t xml:space="preserve"> </w:t>
                      </w:r>
                      <w:r>
                        <w:t>– Important messages for 2016 and every year along with tips for how to tailor messages and talking points.</w:t>
                      </w:r>
                    </w:p>
                    <w:p w:rsidR="005A1494" w:rsidRDefault="005A1494" w:rsidP="005A1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contextualSpacing w:val="0"/>
                      </w:pPr>
                      <w:r w:rsidRPr="009352BA">
                        <w:rPr>
                          <w:b/>
                          <w:color w:val="2E3192"/>
                        </w:rPr>
                        <w:t>Talking Points</w:t>
                      </w:r>
                      <w:r w:rsidRPr="009352BA">
                        <w:rPr>
                          <w:color w:val="2E3192"/>
                        </w:rPr>
                        <w:t xml:space="preserve"> </w:t>
                      </w:r>
                      <w:r>
                        <w:t>– Important points to support our 2016 Key Messages.</w:t>
                      </w:r>
                    </w:p>
                    <w:p w:rsidR="005A1494" w:rsidRDefault="005A1494" w:rsidP="005A1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contextualSpacing w:val="0"/>
                      </w:pPr>
                      <w:r w:rsidRPr="009352BA">
                        <w:rPr>
                          <w:b/>
                          <w:color w:val="2E3192"/>
                        </w:rPr>
                        <w:t>Developing Your Messages</w:t>
                      </w:r>
                      <w:r w:rsidRPr="009352BA">
                        <w:rPr>
                          <w:color w:val="2E3192"/>
                        </w:rPr>
                        <w:t xml:space="preserve"> </w:t>
                      </w:r>
                      <w:r>
                        <w:t>– A worksheet to help you develop messages about WIC for policymakers, the media, or community groups about WIC.</w:t>
                      </w:r>
                    </w:p>
                    <w:p w:rsidR="005A1494" w:rsidRDefault="005A1494" w:rsidP="005A1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contextualSpacing w:val="0"/>
                      </w:pPr>
                      <w:r w:rsidRPr="009352BA">
                        <w:rPr>
                          <w:b/>
                          <w:color w:val="2E3192"/>
                        </w:rPr>
                        <w:t>Contacting Elected Officials</w:t>
                      </w:r>
                      <w:r w:rsidRPr="009352BA">
                        <w:rPr>
                          <w:color w:val="2E3192"/>
                        </w:rPr>
                        <w:t xml:space="preserve"> </w:t>
                      </w:r>
                      <w:r>
                        <w:t>– Now that you’ve got your talking point created, here are some tips for contacting policymakers.</w:t>
                      </w:r>
                    </w:p>
                    <w:p w:rsidR="005A1494" w:rsidRDefault="005A1494" w:rsidP="005A1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contextualSpacing w:val="0"/>
                      </w:pPr>
                      <w:r w:rsidRPr="009352BA">
                        <w:rPr>
                          <w:b/>
                          <w:color w:val="2E3192"/>
                        </w:rPr>
                        <w:t>Something Bad Happened!</w:t>
                      </w:r>
                      <w:r w:rsidRPr="009352BA">
                        <w:rPr>
                          <w:color w:val="2E3192"/>
                        </w:rPr>
                        <w:t xml:space="preserve"> </w:t>
                      </w:r>
                      <w:r>
                        <w:t>At some point, you will probably need to respond to something negative, here is some advice.</w:t>
                      </w:r>
                    </w:p>
                    <w:p w:rsidR="005A1494" w:rsidRDefault="005A1494" w:rsidP="005A1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contextualSpacing w:val="0"/>
                      </w:pPr>
                      <w:r w:rsidRPr="009352BA">
                        <w:rPr>
                          <w:b/>
                          <w:color w:val="2E3192"/>
                        </w:rPr>
                        <w:t>Talking to the Media</w:t>
                      </w:r>
                      <w:r w:rsidRPr="009352BA">
                        <w:rPr>
                          <w:color w:val="2E3192"/>
                        </w:rPr>
                        <w:t xml:space="preserve"> </w:t>
                      </w:r>
                      <w:r>
                        <w:t xml:space="preserve">– Doing media interviews </w:t>
                      </w:r>
                      <w:r w:rsidR="00630F10">
                        <w:t>is a great way to raise Your WIC</w:t>
                      </w:r>
                      <w:r>
                        <w:t xml:space="preserve"> Voice. We’ve put together a few tips to help you prepare.</w:t>
                      </w:r>
                    </w:p>
                    <w:p w:rsidR="005A1494" w:rsidRDefault="005A1494" w:rsidP="005A1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contextualSpacing w:val="0"/>
                      </w:pPr>
                      <w:r w:rsidRPr="009352BA">
                        <w:rPr>
                          <w:b/>
                          <w:color w:val="2E3192"/>
                        </w:rPr>
                        <w:t>How to Pitch a Story</w:t>
                      </w:r>
                      <w:r w:rsidRPr="009352BA">
                        <w:rPr>
                          <w:color w:val="2E3192"/>
                        </w:rPr>
                        <w:t xml:space="preserve"> </w:t>
                      </w:r>
                      <w:r>
                        <w:t>– Don’t just wait for the media to notice WIC, reach out and let them know what you’re up to!</w:t>
                      </w:r>
                    </w:p>
                    <w:p w:rsidR="005A1494" w:rsidRDefault="005A1494" w:rsidP="005A1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contextualSpacing w:val="0"/>
                      </w:pPr>
                      <w:r w:rsidRPr="009352BA">
                        <w:rPr>
                          <w:b/>
                          <w:color w:val="2E3192"/>
                        </w:rPr>
                        <w:t>Writing an Op-Ed</w:t>
                      </w:r>
                      <w:r w:rsidRPr="009352BA">
                        <w:rPr>
                          <w:color w:val="2E3192"/>
                        </w:rPr>
                        <w:t xml:space="preserve"> </w:t>
                      </w:r>
                      <w:r>
                        <w:t>– Op-eds are a great way to reach more people. See our guide for writing and submitting.</w:t>
                      </w:r>
                    </w:p>
                    <w:p w:rsidR="005A1494" w:rsidRDefault="005A1494" w:rsidP="005A1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contextualSpacing w:val="0"/>
                      </w:pPr>
                      <w:r w:rsidRPr="009352BA">
                        <w:rPr>
                          <w:b/>
                          <w:color w:val="2E3192"/>
                        </w:rPr>
                        <w:t>Templates and Examples</w:t>
                      </w:r>
                      <w:r w:rsidRPr="009352BA">
                        <w:rPr>
                          <w:color w:val="2E3192"/>
                        </w:rPr>
                        <w:t xml:space="preserve"> </w:t>
                      </w:r>
                      <w:r>
                        <w:t>of Press Releases and Op-eds.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A1494" w:rsidRPr="003B0284" w:rsidRDefault="009352BA" w:rsidP="005A1494">
      <w:pPr>
        <w:rPr>
          <w:rFonts w:ascii="Century Gothic" w:hAnsi="Century Gothic"/>
          <w:sz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6061075</wp:posOffset>
            </wp:positionV>
            <wp:extent cx="1019175" cy="600075"/>
            <wp:effectExtent l="0" t="0" r="9525" b="9525"/>
            <wp:wrapSquare wrapText="bothSides"/>
            <wp:docPr id="6" name="Picture 6" descr="Image result for w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ic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0" t="9106" r="7705" b="8934"/>
                    <a:stretch/>
                  </pic:blipFill>
                  <pic:spPr bwMode="auto">
                    <a:xfrm>
                      <a:off x="0" y="0"/>
                      <a:ext cx="1019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668480" behindDoc="0" locked="0" layoutInCell="1" allowOverlap="1" wp14:anchorId="189C7DCE" wp14:editId="46931251">
            <wp:simplePos x="0" y="0"/>
            <wp:positionH relativeFrom="column">
              <wp:posOffset>4257675</wp:posOffset>
            </wp:positionH>
            <wp:positionV relativeFrom="paragraph">
              <wp:posOffset>6431280</wp:posOffset>
            </wp:positionV>
            <wp:extent cx="2139315" cy="29146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315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13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31F2B738" wp14:editId="476BBB5B">
            <wp:simplePos x="0" y="0"/>
            <wp:positionH relativeFrom="margin">
              <wp:posOffset>-151071</wp:posOffset>
            </wp:positionH>
            <wp:positionV relativeFrom="paragraph">
              <wp:posOffset>5142082</wp:posOffset>
            </wp:positionV>
            <wp:extent cx="897063" cy="858219"/>
            <wp:effectExtent l="19050" t="19050" r="93980" b="94615"/>
            <wp:wrapNone/>
            <wp:docPr id="5" name="Picture 289" descr="https://greatrates.info/fbtoolz/wp-content/plugins/WPQRCodeGenerator/qr/qrcodec1c088dec26c9bab1bda6f884776e19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https://greatrates.info/fbtoolz/wp-content/plugins/WPQRCodeGenerator/qr/qrcodec1c088dec26c9bab1bda6f884776e192.png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063" cy="858219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rgbClr val="D18CC3"/>
                      </a:solidFill>
                      <a:miter lim="800000"/>
                      <a:headEnd/>
                      <a:tailEnd/>
                    </a:ln>
                    <a:effectLst>
                      <a:outerShdw dist="99190" dir="3011666" algn="ctr" rotWithShape="0">
                        <a:srgbClr val="591F4D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316" w:rsidRPr="003B0284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DAD024F" wp14:editId="013E6F3A">
                <wp:simplePos x="0" y="0"/>
                <wp:positionH relativeFrom="column">
                  <wp:posOffset>-553085</wp:posOffset>
                </wp:positionH>
                <wp:positionV relativeFrom="paragraph">
                  <wp:posOffset>6432550</wp:posOffset>
                </wp:positionV>
                <wp:extent cx="3040380" cy="27559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316" w:rsidRPr="003B0284" w:rsidRDefault="00A80316">
                            <w:pPr>
                              <w:rPr>
                                <w:b/>
                              </w:rPr>
                            </w:pPr>
                            <w:r w:rsidRPr="003B0284">
                              <w:rPr>
                                <w:b/>
                              </w:rPr>
                              <w:t xml:space="preserve">Adapted from the </w:t>
                            </w:r>
                            <w:r w:rsidR="00630F10">
                              <w:rPr>
                                <w:b/>
                              </w:rPr>
                              <w:t>National WIC</w:t>
                            </w:r>
                            <w:r w:rsidRPr="003B0284">
                              <w:rPr>
                                <w:b/>
                              </w:rPr>
                              <w:t xml:space="preserve"> 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D024F" id="_x0000_s1029" type="#_x0000_t202" style="position:absolute;margin-left:-43.55pt;margin-top:506.5pt;width:239.4pt;height:21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" filled="f" stroked="f">
                <v:textbox>
                  <w:txbxContent>
                    <w:p w:rsidR="00A80316" w:rsidRPr="003B0284" w:rsidRDefault="00A80316">
                      <w:pPr>
                        <w:rPr>
                          <w:b/>
                        </w:rPr>
                      </w:pPr>
                      <w:r w:rsidRPr="003B0284">
                        <w:rPr>
                          <w:b/>
                        </w:rPr>
                        <w:t xml:space="preserve">Adapted from the </w:t>
                      </w:r>
                      <w:r w:rsidR="00630F10">
                        <w:rPr>
                          <w:b/>
                        </w:rPr>
                        <w:t>National WIC</w:t>
                      </w:r>
                      <w:r w:rsidRPr="003B0284">
                        <w:rPr>
                          <w:b/>
                        </w:rPr>
                        <w:t xml:space="preserve"> Association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A1494" w:rsidRPr="003B0284" w:rsidSect="00A80316">
      <w:pgSz w:w="12240" w:h="15840"/>
      <w:pgMar w:top="1440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494" w:rsidRDefault="005A1494" w:rsidP="005A1494">
      <w:pPr>
        <w:spacing w:after="0" w:line="240" w:lineRule="auto"/>
      </w:pPr>
      <w:r>
        <w:separator/>
      </w:r>
    </w:p>
  </w:endnote>
  <w:endnote w:type="continuationSeparator" w:id="0">
    <w:p w:rsidR="005A1494" w:rsidRDefault="005A1494" w:rsidP="005A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494" w:rsidRDefault="005A1494" w:rsidP="005A1494">
      <w:pPr>
        <w:spacing w:after="0" w:line="240" w:lineRule="auto"/>
      </w:pPr>
      <w:r>
        <w:separator/>
      </w:r>
    </w:p>
  </w:footnote>
  <w:footnote w:type="continuationSeparator" w:id="0">
    <w:p w:rsidR="005A1494" w:rsidRDefault="005A1494" w:rsidP="005A1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32A10"/>
    <w:multiLevelType w:val="hybridMultilevel"/>
    <w:tmpl w:val="7A6AD51C"/>
    <w:lvl w:ilvl="0" w:tplc="411E7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90E6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94"/>
    <w:rsid w:val="00310CBB"/>
    <w:rsid w:val="003B0284"/>
    <w:rsid w:val="00492BBD"/>
    <w:rsid w:val="005A1494"/>
    <w:rsid w:val="00630F10"/>
    <w:rsid w:val="00796813"/>
    <w:rsid w:val="009352BA"/>
    <w:rsid w:val="00A80316"/>
    <w:rsid w:val="00A8313C"/>
    <w:rsid w:val="00B2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36175A-5529-4A3C-BD14-32DC9FE2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494"/>
  </w:style>
  <w:style w:type="paragraph" w:styleId="Footer">
    <w:name w:val="footer"/>
    <w:basedOn w:val="Normal"/>
    <w:link w:val="FooterChar"/>
    <w:uiPriority w:val="99"/>
    <w:unhideWhenUsed/>
    <w:rsid w:val="005A1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494"/>
  </w:style>
  <w:style w:type="paragraph" w:styleId="ListParagraph">
    <w:name w:val="List Paragraph"/>
    <w:basedOn w:val="Normal"/>
    <w:uiPriority w:val="34"/>
    <w:qFormat/>
    <w:rsid w:val="005A14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0F1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0F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wica.org/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nwica.org/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iwic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wica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Portage County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Boak, Tiffany</dc:creator>
  <cp:keywords/>
  <dc:description/>
  <cp:lastModifiedBy>Cooley, Kristi</cp:lastModifiedBy>
  <cp:revision>2</cp:revision>
  <dcterms:created xsi:type="dcterms:W3CDTF">2017-03-06T21:14:00Z</dcterms:created>
  <dcterms:modified xsi:type="dcterms:W3CDTF">2017-03-06T21:14:00Z</dcterms:modified>
</cp:coreProperties>
</file>